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EE81B9" w14:textId="77777777" w:rsidR="002F0276" w:rsidRPr="00BB3008" w:rsidRDefault="0088049A" w:rsidP="0088049A">
      <w:pPr>
        <w:jc w:val="center"/>
        <w:rPr>
          <w:b/>
        </w:rPr>
      </w:pPr>
      <w:bookmarkStart w:id="0" w:name="_GoBack"/>
      <w:bookmarkEnd w:id="0"/>
      <w:r w:rsidRPr="00BB3008">
        <w:rPr>
          <w:b/>
        </w:rPr>
        <w:t>Sharing Staff: Discussion Paper</w:t>
      </w:r>
    </w:p>
    <w:p w14:paraId="1BF364A9" w14:textId="77777777" w:rsidR="0088049A" w:rsidRPr="00BB3008" w:rsidRDefault="0088049A" w:rsidP="0088049A">
      <w:pPr>
        <w:jc w:val="center"/>
        <w:rPr>
          <w:b/>
        </w:rPr>
      </w:pPr>
    </w:p>
    <w:p w14:paraId="636961B0" w14:textId="77777777" w:rsidR="0088049A" w:rsidRPr="00BB3008" w:rsidRDefault="0088049A" w:rsidP="0088049A">
      <w:pPr>
        <w:jc w:val="center"/>
        <w:rPr>
          <w:b/>
        </w:rPr>
      </w:pPr>
    </w:p>
    <w:p w14:paraId="5CD582EA" w14:textId="77777777" w:rsidR="0088049A" w:rsidRPr="00BB3008" w:rsidRDefault="0088049A" w:rsidP="0088049A">
      <w:pPr>
        <w:numPr>
          <w:ilvl w:val="0"/>
          <w:numId w:val="33"/>
        </w:numPr>
        <w:spacing w:before="100" w:beforeAutospacing="1" w:after="100" w:afterAutospacing="1"/>
        <w:jc w:val="left"/>
      </w:pPr>
      <w:r w:rsidRPr="00BB3008">
        <w:rPr>
          <w:b/>
        </w:rPr>
        <w:t>What are the options for sharing staff between collaborating practices?</w:t>
      </w:r>
      <w:r w:rsidRPr="00BB3008">
        <w:t xml:space="preserve"> </w:t>
      </w:r>
    </w:p>
    <w:p w14:paraId="060C2D05" w14:textId="77777777" w:rsidR="0088049A" w:rsidRPr="00BB3008" w:rsidRDefault="0088049A" w:rsidP="0088049A">
      <w:pPr>
        <w:numPr>
          <w:ilvl w:val="1"/>
          <w:numId w:val="33"/>
        </w:numPr>
        <w:spacing w:before="100" w:beforeAutospacing="1" w:after="100" w:afterAutospacing="1"/>
        <w:jc w:val="left"/>
      </w:pPr>
      <w:r w:rsidRPr="00BB3008">
        <w:t>Secondments</w:t>
      </w:r>
    </w:p>
    <w:p w14:paraId="1C27BC69" w14:textId="77777777" w:rsidR="0088049A" w:rsidRPr="00BB3008" w:rsidRDefault="0088049A" w:rsidP="0088049A">
      <w:pPr>
        <w:numPr>
          <w:ilvl w:val="2"/>
          <w:numId w:val="33"/>
        </w:numPr>
        <w:spacing w:before="100" w:beforeAutospacing="1" w:after="100" w:afterAutospacing="1"/>
        <w:jc w:val="left"/>
      </w:pPr>
      <w:r w:rsidRPr="00BB3008">
        <w:t xml:space="preserve">Usually short term </w:t>
      </w:r>
    </w:p>
    <w:p w14:paraId="3B73C656" w14:textId="77777777" w:rsidR="0088049A" w:rsidRPr="00BB3008" w:rsidRDefault="0088049A" w:rsidP="0088049A">
      <w:pPr>
        <w:numPr>
          <w:ilvl w:val="2"/>
          <w:numId w:val="33"/>
        </w:numPr>
        <w:spacing w:before="100" w:beforeAutospacing="1" w:after="100" w:afterAutospacing="1"/>
        <w:jc w:val="left"/>
      </w:pPr>
      <w:r w:rsidRPr="00BB3008">
        <w:t>Clear where employment relationship lies</w:t>
      </w:r>
    </w:p>
    <w:p w14:paraId="638CA1F0" w14:textId="77777777" w:rsidR="0088049A" w:rsidRPr="00BB3008" w:rsidRDefault="0088049A" w:rsidP="0088049A">
      <w:pPr>
        <w:numPr>
          <w:ilvl w:val="2"/>
          <w:numId w:val="33"/>
        </w:numPr>
        <w:spacing w:before="100" w:beforeAutospacing="1" w:after="100" w:afterAutospacing="1"/>
        <w:jc w:val="left"/>
      </w:pPr>
      <w:r w:rsidRPr="00BB3008">
        <w:t>May be starting point which can develop into another form of arrangement</w:t>
      </w:r>
    </w:p>
    <w:p w14:paraId="252D6615" w14:textId="77777777" w:rsidR="0088049A" w:rsidRPr="00BB3008" w:rsidRDefault="0088049A" w:rsidP="0088049A">
      <w:pPr>
        <w:numPr>
          <w:ilvl w:val="1"/>
          <w:numId w:val="33"/>
        </w:numPr>
        <w:spacing w:before="100" w:beforeAutospacing="1" w:after="100" w:afterAutospacing="1"/>
        <w:jc w:val="left"/>
      </w:pPr>
      <w:r w:rsidRPr="00BB3008">
        <w:t xml:space="preserve"> Joint employment</w:t>
      </w:r>
    </w:p>
    <w:p w14:paraId="59B1EAB3" w14:textId="77777777" w:rsidR="0088049A" w:rsidRPr="00BB3008" w:rsidRDefault="0088049A" w:rsidP="0088049A">
      <w:pPr>
        <w:numPr>
          <w:ilvl w:val="2"/>
          <w:numId w:val="33"/>
        </w:numPr>
        <w:spacing w:before="100" w:beforeAutospacing="1" w:after="100" w:afterAutospacing="1"/>
        <w:jc w:val="left"/>
      </w:pPr>
      <w:r w:rsidRPr="00BB3008">
        <w:t xml:space="preserve">Usually longer term arrangement </w:t>
      </w:r>
    </w:p>
    <w:p w14:paraId="1985C247" w14:textId="77777777" w:rsidR="0088049A" w:rsidRPr="00BB3008" w:rsidRDefault="0088049A" w:rsidP="0088049A">
      <w:pPr>
        <w:numPr>
          <w:ilvl w:val="2"/>
          <w:numId w:val="33"/>
        </w:numPr>
        <w:spacing w:before="100" w:beforeAutospacing="1" w:after="100" w:afterAutospacing="1"/>
        <w:jc w:val="left"/>
      </w:pPr>
      <w:r w:rsidRPr="00BB3008">
        <w:t>Agreement between practices to assign responsibilities and liabilities</w:t>
      </w:r>
    </w:p>
    <w:p w14:paraId="3B7ACAD3" w14:textId="77777777" w:rsidR="0088049A" w:rsidRPr="00BB3008" w:rsidRDefault="0088049A" w:rsidP="0088049A">
      <w:pPr>
        <w:numPr>
          <w:ilvl w:val="2"/>
          <w:numId w:val="33"/>
        </w:numPr>
        <w:spacing w:before="100" w:beforeAutospacing="1" w:after="100" w:afterAutospacing="1"/>
        <w:jc w:val="left"/>
      </w:pPr>
      <w:r w:rsidRPr="00BB3008">
        <w:t>Potential for “primary” employer to be noted in agreement</w:t>
      </w:r>
    </w:p>
    <w:p w14:paraId="70C3E0DC" w14:textId="77777777" w:rsidR="0088049A" w:rsidRPr="00BB3008" w:rsidRDefault="0088049A" w:rsidP="0088049A">
      <w:pPr>
        <w:numPr>
          <w:ilvl w:val="2"/>
          <w:numId w:val="33"/>
        </w:numPr>
        <w:spacing w:before="100" w:beforeAutospacing="1" w:after="100" w:afterAutospacing="1"/>
        <w:jc w:val="left"/>
      </w:pPr>
      <w:r w:rsidRPr="00BB3008">
        <w:t>Impact of termination</w:t>
      </w:r>
    </w:p>
    <w:p w14:paraId="25963A74" w14:textId="77777777" w:rsidR="0088049A" w:rsidRPr="00BB3008" w:rsidRDefault="0088049A" w:rsidP="0088049A">
      <w:pPr>
        <w:numPr>
          <w:ilvl w:val="1"/>
          <w:numId w:val="33"/>
        </w:numPr>
        <w:spacing w:before="100" w:beforeAutospacing="1" w:after="100" w:afterAutospacing="1"/>
        <w:jc w:val="left"/>
      </w:pPr>
      <w:r w:rsidRPr="00BB3008">
        <w:t>Supply of staff</w:t>
      </w:r>
    </w:p>
    <w:p w14:paraId="0F4D4897" w14:textId="77777777" w:rsidR="0088049A" w:rsidRPr="00BB3008" w:rsidRDefault="0088049A" w:rsidP="0088049A">
      <w:pPr>
        <w:numPr>
          <w:ilvl w:val="2"/>
          <w:numId w:val="33"/>
        </w:numPr>
        <w:spacing w:before="100" w:beforeAutospacing="1" w:after="100" w:afterAutospacing="1"/>
        <w:jc w:val="left"/>
      </w:pPr>
      <w:r w:rsidRPr="00BB3008">
        <w:t xml:space="preserve">Can be a long term agreement, covering numerous spells of cover </w:t>
      </w:r>
    </w:p>
    <w:p w14:paraId="22E6712B" w14:textId="77777777" w:rsidR="0088049A" w:rsidRPr="00BB3008" w:rsidRDefault="0088049A" w:rsidP="0088049A">
      <w:pPr>
        <w:numPr>
          <w:ilvl w:val="2"/>
          <w:numId w:val="33"/>
        </w:numPr>
        <w:spacing w:before="100" w:beforeAutospacing="1" w:after="100" w:afterAutospacing="1"/>
        <w:jc w:val="left"/>
      </w:pPr>
      <w:r w:rsidRPr="00BB3008">
        <w:t xml:space="preserve">Agreement between practices would assign responsibilities and </w:t>
      </w:r>
      <w:r w:rsidR="00BB3008" w:rsidRPr="00BB3008">
        <w:t>liabilities</w:t>
      </w:r>
    </w:p>
    <w:p w14:paraId="7D904DD1" w14:textId="77777777" w:rsidR="0088049A" w:rsidRDefault="0088049A" w:rsidP="00BB3008">
      <w:pPr>
        <w:numPr>
          <w:ilvl w:val="2"/>
          <w:numId w:val="33"/>
        </w:numPr>
        <w:spacing w:before="100" w:beforeAutospacing="1" w:after="100" w:afterAutospacing="1"/>
        <w:jc w:val="left"/>
      </w:pPr>
      <w:r w:rsidRPr="00BB3008">
        <w:t xml:space="preserve">If it developed that the employee was spending more time with the receiving practice, other arrangements would need to be explored  </w:t>
      </w:r>
    </w:p>
    <w:p w14:paraId="24064AE8" w14:textId="77777777" w:rsidR="00BB3008" w:rsidRPr="00BB3008" w:rsidRDefault="00BB3008" w:rsidP="00BB3008">
      <w:pPr>
        <w:spacing w:before="100" w:beforeAutospacing="1" w:after="100" w:afterAutospacing="1"/>
        <w:ind w:left="1800"/>
        <w:jc w:val="left"/>
      </w:pPr>
    </w:p>
    <w:p w14:paraId="2074630D" w14:textId="77777777" w:rsidR="0088049A" w:rsidRPr="00BB3008" w:rsidRDefault="0088049A" w:rsidP="0088049A">
      <w:pPr>
        <w:numPr>
          <w:ilvl w:val="0"/>
          <w:numId w:val="33"/>
        </w:numPr>
        <w:spacing w:before="100" w:beforeAutospacing="1" w:after="100" w:afterAutospacing="1"/>
        <w:jc w:val="left"/>
      </w:pPr>
      <w:r w:rsidRPr="00BB3008">
        <w:rPr>
          <w:b/>
        </w:rPr>
        <w:t>A collaborating group of practices (where there is no entity to employ other than one of the practices),  identifies shared employment  as a way to address a shared need for a service - what are the  issues and recommendations for managing the employment</w:t>
      </w:r>
      <w:r w:rsidRPr="00BB3008">
        <w:t xml:space="preserve"> </w:t>
      </w:r>
    </w:p>
    <w:p w14:paraId="2C08A91D" w14:textId="77777777" w:rsidR="0088049A" w:rsidRPr="00BB3008" w:rsidRDefault="0088049A" w:rsidP="0088049A">
      <w:pPr>
        <w:numPr>
          <w:ilvl w:val="1"/>
          <w:numId w:val="33"/>
        </w:numPr>
        <w:spacing w:before="100" w:beforeAutospacing="1" w:after="100" w:afterAutospacing="1"/>
        <w:jc w:val="left"/>
      </w:pPr>
      <w:r w:rsidRPr="00BB3008">
        <w:t xml:space="preserve">What if practices have completely different terms and conditions, what will be the applicable terms for the employee jointly employed by the two practices? </w:t>
      </w:r>
    </w:p>
    <w:p w14:paraId="634C8AA2" w14:textId="77777777" w:rsidR="0088049A" w:rsidRPr="00BB3008" w:rsidRDefault="0088049A" w:rsidP="0088049A">
      <w:pPr>
        <w:numPr>
          <w:ilvl w:val="1"/>
          <w:numId w:val="33"/>
        </w:numPr>
        <w:spacing w:before="100" w:beforeAutospacing="1" w:after="100" w:afterAutospacing="1"/>
        <w:jc w:val="left"/>
      </w:pPr>
      <w:r w:rsidRPr="00BB3008">
        <w:t xml:space="preserve">Who would an employee complain about a grievance too? </w:t>
      </w:r>
    </w:p>
    <w:p w14:paraId="0A6F6589" w14:textId="77777777" w:rsidR="0088049A" w:rsidRPr="00BB3008" w:rsidRDefault="0088049A" w:rsidP="0088049A">
      <w:pPr>
        <w:numPr>
          <w:ilvl w:val="1"/>
          <w:numId w:val="33"/>
        </w:numPr>
        <w:spacing w:before="100" w:beforeAutospacing="1" w:after="100" w:afterAutospacing="1"/>
        <w:jc w:val="left"/>
      </w:pPr>
      <w:r w:rsidRPr="00BB3008">
        <w:t>In a disciplinary situation, who would manage the process and make decisions?</w:t>
      </w:r>
    </w:p>
    <w:p w14:paraId="6E96F5D5" w14:textId="77777777" w:rsidR="0088049A" w:rsidRPr="00BB3008" w:rsidRDefault="0088049A" w:rsidP="0088049A">
      <w:pPr>
        <w:numPr>
          <w:ilvl w:val="1"/>
          <w:numId w:val="33"/>
        </w:numPr>
        <w:spacing w:before="100" w:beforeAutospacing="1" w:after="100" w:afterAutospacing="1"/>
        <w:jc w:val="left"/>
      </w:pPr>
      <w:r w:rsidRPr="00BB3008">
        <w:t xml:space="preserve">What if one practice wanted to dismiss and the other not? </w:t>
      </w:r>
    </w:p>
    <w:p w14:paraId="3061EE02" w14:textId="77777777" w:rsidR="0088049A" w:rsidRPr="00BB3008" w:rsidRDefault="0088049A" w:rsidP="0088049A">
      <w:pPr>
        <w:numPr>
          <w:ilvl w:val="1"/>
          <w:numId w:val="33"/>
        </w:numPr>
        <w:spacing w:before="100" w:beforeAutospacing="1" w:after="100" w:afterAutospacing="1"/>
        <w:jc w:val="left"/>
      </w:pPr>
      <w:r w:rsidRPr="00BB3008">
        <w:t xml:space="preserve">Employment Tribunal claims – who is the correct Respondent? </w:t>
      </w:r>
    </w:p>
    <w:p w14:paraId="37F47F7F" w14:textId="77777777" w:rsidR="0088049A" w:rsidRPr="00BB3008" w:rsidRDefault="0088049A" w:rsidP="0088049A">
      <w:pPr>
        <w:numPr>
          <w:ilvl w:val="1"/>
          <w:numId w:val="33"/>
        </w:numPr>
        <w:spacing w:before="100" w:beforeAutospacing="1" w:after="100" w:afterAutospacing="1"/>
        <w:jc w:val="left"/>
      </w:pPr>
      <w:r w:rsidRPr="00BB3008">
        <w:t xml:space="preserve">Where do liabilities for disputes lie? </w:t>
      </w:r>
    </w:p>
    <w:p w14:paraId="39CBEA87" w14:textId="77777777" w:rsidR="0088049A" w:rsidRPr="00BB3008" w:rsidRDefault="0088049A" w:rsidP="0088049A">
      <w:pPr>
        <w:numPr>
          <w:ilvl w:val="1"/>
          <w:numId w:val="33"/>
        </w:numPr>
        <w:spacing w:before="100" w:beforeAutospacing="1" w:after="100" w:afterAutospacing="1"/>
        <w:jc w:val="left"/>
      </w:pPr>
      <w:r w:rsidRPr="00BB3008">
        <w:t xml:space="preserve">What if one practice wants to terminate and the other not? </w:t>
      </w:r>
    </w:p>
    <w:p w14:paraId="5EF10A25" w14:textId="77777777" w:rsidR="0088049A" w:rsidRPr="00BB3008" w:rsidRDefault="0088049A" w:rsidP="0088049A">
      <w:pPr>
        <w:numPr>
          <w:ilvl w:val="1"/>
          <w:numId w:val="33"/>
        </w:numPr>
        <w:spacing w:before="100" w:beforeAutospacing="1" w:after="100" w:afterAutospacing="1"/>
        <w:jc w:val="left"/>
      </w:pPr>
      <w:r w:rsidRPr="00BB3008">
        <w:t>What if one practice wants to sell their business?</w:t>
      </w:r>
    </w:p>
    <w:p w14:paraId="601F03C2" w14:textId="77777777" w:rsidR="0088049A" w:rsidRDefault="0088049A" w:rsidP="0088049A">
      <w:pPr>
        <w:spacing w:before="100" w:beforeAutospacing="1" w:after="100" w:afterAutospacing="1"/>
        <w:ind w:left="1440"/>
        <w:jc w:val="left"/>
      </w:pPr>
      <w:r w:rsidRPr="00BB3008">
        <w:t>These issue could be dealt with in the joint employment contract together with a separate commercial agreement between the practices regarding the practical arrangements for pay etc</w:t>
      </w:r>
    </w:p>
    <w:p w14:paraId="20E00CE9" w14:textId="77777777" w:rsidR="00BB3008" w:rsidRPr="00BB3008" w:rsidRDefault="00BB3008" w:rsidP="0088049A">
      <w:pPr>
        <w:spacing w:before="100" w:beforeAutospacing="1" w:after="100" w:afterAutospacing="1"/>
        <w:ind w:left="1440"/>
        <w:jc w:val="left"/>
      </w:pPr>
    </w:p>
    <w:p w14:paraId="4E5BFB8B" w14:textId="77777777" w:rsidR="0088049A" w:rsidRPr="00BB3008" w:rsidRDefault="0088049A" w:rsidP="0088049A">
      <w:pPr>
        <w:numPr>
          <w:ilvl w:val="0"/>
          <w:numId w:val="33"/>
        </w:numPr>
        <w:spacing w:before="100" w:beforeAutospacing="1" w:after="100" w:afterAutospacing="1"/>
        <w:jc w:val="left"/>
      </w:pPr>
      <w:r w:rsidRPr="00BB3008">
        <w:rPr>
          <w:b/>
        </w:rPr>
        <w:t>How to overcome issues relating to professional indemnity for a member of staff/team who is being employed by one practice but is working in a number of collaborating practices</w:t>
      </w:r>
      <w:r w:rsidRPr="00BB3008">
        <w:t xml:space="preserve"> </w:t>
      </w:r>
    </w:p>
    <w:p w14:paraId="39CDE67A" w14:textId="77777777" w:rsidR="0088049A" w:rsidRPr="00BB3008" w:rsidRDefault="0088049A" w:rsidP="0088049A">
      <w:pPr>
        <w:numPr>
          <w:ilvl w:val="1"/>
          <w:numId w:val="33"/>
        </w:numPr>
        <w:spacing w:before="100" w:beforeAutospacing="1" w:after="100" w:afterAutospacing="1"/>
        <w:jc w:val="left"/>
      </w:pPr>
      <w:r w:rsidRPr="00BB3008">
        <w:t>Could we seek to amend the policy definition of employee to include employees jointly employed?</w:t>
      </w:r>
    </w:p>
    <w:p w14:paraId="2B0FAE23" w14:textId="77777777" w:rsidR="0088049A" w:rsidRPr="00BB3008" w:rsidRDefault="0088049A" w:rsidP="0088049A">
      <w:pPr>
        <w:numPr>
          <w:ilvl w:val="1"/>
          <w:numId w:val="33"/>
        </w:numPr>
        <w:spacing w:before="100" w:beforeAutospacing="1" w:after="100" w:afterAutospacing="1"/>
        <w:jc w:val="left"/>
      </w:pPr>
      <w:r w:rsidRPr="00BB3008">
        <w:t>A point to check with insurers</w:t>
      </w:r>
    </w:p>
    <w:p w14:paraId="13984A10" w14:textId="77777777" w:rsidR="0088049A" w:rsidRPr="00BB3008" w:rsidRDefault="0088049A" w:rsidP="0088049A">
      <w:pPr>
        <w:spacing w:before="100" w:beforeAutospacing="1" w:after="100" w:afterAutospacing="1"/>
        <w:ind w:left="1440"/>
        <w:jc w:val="left"/>
      </w:pPr>
    </w:p>
    <w:p w14:paraId="545DF704" w14:textId="77777777" w:rsidR="0088049A" w:rsidRPr="00BB3008" w:rsidRDefault="0088049A" w:rsidP="0088049A">
      <w:pPr>
        <w:numPr>
          <w:ilvl w:val="0"/>
          <w:numId w:val="33"/>
        </w:numPr>
        <w:spacing w:before="100" w:beforeAutospacing="1" w:after="100" w:afterAutospacing="1"/>
        <w:jc w:val="left"/>
        <w:rPr>
          <w:b/>
        </w:rPr>
      </w:pPr>
      <w:r w:rsidRPr="00BB3008">
        <w:rPr>
          <w:b/>
        </w:rPr>
        <w:t xml:space="preserve">How can employment (including financial risk relating to employment liabilities) be minimised for one practice acting as lead employer, are there safeguards which we can point to which support the employing practice? </w:t>
      </w:r>
    </w:p>
    <w:p w14:paraId="33DA3EED" w14:textId="77777777" w:rsidR="0088049A" w:rsidRPr="00BB3008" w:rsidRDefault="0088049A" w:rsidP="0088049A">
      <w:pPr>
        <w:numPr>
          <w:ilvl w:val="1"/>
          <w:numId w:val="33"/>
        </w:numPr>
        <w:spacing w:before="100" w:beforeAutospacing="1" w:after="100" w:afterAutospacing="1"/>
        <w:jc w:val="left"/>
      </w:pPr>
      <w:r w:rsidRPr="00BB3008">
        <w:t>This should be dealt with in the commercial arrangement documentation between the parties</w:t>
      </w:r>
    </w:p>
    <w:p w14:paraId="56ACE835" w14:textId="77777777" w:rsidR="0088049A" w:rsidRPr="00BB3008" w:rsidRDefault="0088049A" w:rsidP="0088049A">
      <w:pPr>
        <w:numPr>
          <w:ilvl w:val="0"/>
          <w:numId w:val="33"/>
        </w:numPr>
        <w:spacing w:before="100" w:beforeAutospacing="1" w:after="100" w:afterAutospacing="1"/>
        <w:jc w:val="left"/>
        <w:rPr>
          <w:b/>
        </w:rPr>
      </w:pPr>
      <w:r w:rsidRPr="00BB3008">
        <w:rPr>
          <w:b/>
        </w:rPr>
        <w:lastRenderedPageBreak/>
        <w:t xml:space="preserve">One practice bids to run a service on behalf of a group, to be staffed by employees from the various practices in the “group”. What happens to employment as often they “share” the staff. </w:t>
      </w:r>
    </w:p>
    <w:p w14:paraId="4255187D" w14:textId="77777777" w:rsidR="0088049A" w:rsidRPr="00BB3008" w:rsidRDefault="0088049A" w:rsidP="0088049A">
      <w:pPr>
        <w:numPr>
          <w:ilvl w:val="1"/>
          <w:numId w:val="33"/>
        </w:numPr>
        <w:spacing w:before="100" w:beforeAutospacing="1" w:after="100" w:afterAutospacing="1"/>
        <w:jc w:val="left"/>
      </w:pPr>
      <w:r w:rsidRPr="00BB3008">
        <w:t xml:space="preserve">This is not joint employment per se so the practice running the shared arrangement will be the employer and the employment contract could refer to the fact that they may be required to work at other practices. </w:t>
      </w:r>
      <w:r w:rsidR="00BB3008" w:rsidRPr="00BB3008">
        <w:t xml:space="preserve">The advice here will depend on how long the employee spends on the service. </w:t>
      </w:r>
    </w:p>
    <w:p w14:paraId="55994814" w14:textId="77777777" w:rsidR="0088049A" w:rsidRPr="00BB3008" w:rsidRDefault="0088049A" w:rsidP="0088049A">
      <w:pPr>
        <w:spacing w:before="100" w:beforeAutospacing="1" w:after="100" w:afterAutospacing="1"/>
        <w:ind w:left="1080"/>
        <w:jc w:val="left"/>
      </w:pPr>
    </w:p>
    <w:p w14:paraId="746F0AD8" w14:textId="77777777" w:rsidR="0088049A" w:rsidRPr="00BB3008" w:rsidRDefault="0088049A" w:rsidP="0088049A">
      <w:pPr>
        <w:numPr>
          <w:ilvl w:val="0"/>
          <w:numId w:val="33"/>
        </w:numPr>
        <w:spacing w:before="100" w:beforeAutospacing="1" w:after="100" w:afterAutospacing="1"/>
        <w:jc w:val="left"/>
      </w:pPr>
      <w:r w:rsidRPr="00BB3008">
        <w:rPr>
          <w:b/>
        </w:rPr>
        <w:t>Also how does this work in terms of seeing patients that are not from their surgery? One issue is how to overcome issues relating to professional indemnity in these circumstances.</w:t>
      </w:r>
      <w:r w:rsidRPr="00BB3008">
        <w:t xml:space="preserve"> </w:t>
      </w:r>
    </w:p>
    <w:p w14:paraId="62FFE9AB" w14:textId="77777777" w:rsidR="0088049A" w:rsidRPr="00BB3008" w:rsidRDefault="0088049A" w:rsidP="0088049A">
      <w:pPr>
        <w:numPr>
          <w:ilvl w:val="1"/>
          <w:numId w:val="33"/>
        </w:numPr>
        <w:spacing w:before="100" w:beforeAutospacing="1" w:after="100" w:afterAutospacing="1"/>
        <w:jc w:val="left"/>
      </w:pPr>
      <w:r w:rsidRPr="00BB3008">
        <w:t>This would need to be addressed in the policy definitions in relation to what the definition of a ‘patient’ is.</w:t>
      </w:r>
    </w:p>
    <w:p w14:paraId="0EB41FDD" w14:textId="77777777" w:rsidR="0088049A" w:rsidRPr="00BB3008" w:rsidRDefault="0088049A" w:rsidP="0088049A">
      <w:pPr>
        <w:numPr>
          <w:ilvl w:val="1"/>
          <w:numId w:val="33"/>
        </w:numPr>
        <w:spacing w:before="100" w:beforeAutospacing="1" w:after="100" w:afterAutospacing="1"/>
        <w:jc w:val="left"/>
      </w:pPr>
      <w:r w:rsidRPr="00BB3008">
        <w:t xml:space="preserve">A point to check with insurers – which hopefully some of the Practices have done. </w:t>
      </w:r>
    </w:p>
    <w:p w14:paraId="2F37137D" w14:textId="77777777" w:rsidR="0088049A" w:rsidRPr="00BB3008" w:rsidRDefault="0088049A" w:rsidP="0088049A">
      <w:pPr>
        <w:jc w:val="center"/>
        <w:rPr>
          <w:b/>
        </w:rPr>
      </w:pPr>
    </w:p>
    <w:p w14:paraId="6EF370B5" w14:textId="77777777" w:rsidR="0088049A" w:rsidRPr="00BB3008" w:rsidRDefault="0088049A" w:rsidP="0088049A">
      <w:pPr>
        <w:jc w:val="center"/>
        <w:rPr>
          <w:b/>
        </w:rPr>
      </w:pPr>
    </w:p>
    <w:p w14:paraId="0C37C8D7" w14:textId="77777777" w:rsidR="0088049A" w:rsidRPr="00BB3008" w:rsidRDefault="0088049A" w:rsidP="0088049A">
      <w:pPr>
        <w:jc w:val="center"/>
        <w:rPr>
          <w:b/>
        </w:rPr>
      </w:pPr>
    </w:p>
    <w:sectPr w:rsidR="0088049A" w:rsidRPr="00BB3008" w:rsidSect="006F3B6F">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5292B5" w14:textId="77777777" w:rsidR="003B273B" w:rsidRDefault="003B273B" w:rsidP="00F038DF">
      <w:r>
        <w:separator/>
      </w:r>
    </w:p>
  </w:endnote>
  <w:endnote w:type="continuationSeparator" w:id="0">
    <w:p w14:paraId="705FABCE" w14:textId="77777777" w:rsidR="003B273B" w:rsidRDefault="003B273B" w:rsidP="00F03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20A7F6" w14:textId="77777777" w:rsidR="003B273B" w:rsidRDefault="003B273B" w:rsidP="00F038DF">
      <w:r>
        <w:separator/>
      </w:r>
    </w:p>
  </w:footnote>
  <w:footnote w:type="continuationSeparator" w:id="0">
    <w:p w14:paraId="5758F01F" w14:textId="77777777" w:rsidR="003B273B" w:rsidRDefault="003B273B" w:rsidP="00F038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94151"/>
    <w:multiLevelType w:val="multilevel"/>
    <w:tmpl w:val="0809001D"/>
    <w:styleLink w:val="CLAUSES"/>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6F27FA8"/>
    <w:multiLevelType w:val="multilevel"/>
    <w:tmpl w:val="E6FE6588"/>
    <w:lvl w:ilvl="0">
      <w:numFmt w:val="none"/>
      <w:pStyle w:val="PDoNotUse"/>
      <w:lvlText w:val=""/>
      <w:lvlJc w:val="left"/>
      <w:pPr>
        <w:tabs>
          <w:tab w:val="num" w:pos="360"/>
        </w:tabs>
        <w:ind w:left="0" w:firstLine="0"/>
      </w:pPr>
      <w:rPr>
        <w:rFonts w:ascii="Arial" w:hAnsi="Arial" w:hint="default"/>
        <w:b w:val="0"/>
        <w:i w:val="0"/>
        <w:sz w:val="22"/>
      </w:rPr>
    </w:lvl>
    <w:lvl w:ilvl="1">
      <w:start w:val="1"/>
      <w:numFmt w:val="decimal"/>
      <w:pStyle w:val="Para1"/>
      <w:lvlText w:val="%2."/>
      <w:lvlJc w:val="left"/>
      <w:pPr>
        <w:tabs>
          <w:tab w:val="num" w:pos="567"/>
        </w:tabs>
        <w:ind w:left="567" w:hanging="567"/>
      </w:pPr>
      <w:rPr>
        <w:rFonts w:ascii="Arial" w:hAnsi="Arial" w:hint="default"/>
        <w:sz w:val="22"/>
      </w:rPr>
    </w:lvl>
    <w:lvl w:ilvl="2">
      <w:start w:val="1"/>
      <w:numFmt w:val="decimal"/>
      <w:pStyle w:val="Para11"/>
      <w:lvlText w:val="%1%2.%3."/>
      <w:lvlJc w:val="left"/>
      <w:pPr>
        <w:tabs>
          <w:tab w:val="num" w:pos="1418"/>
        </w:tabs>
        <w:ind w:left="1418" w:hanging="851"/>
      </w:pPr>
      <w:rPr>
        <w:rFonts w:ascii="Arial" w:hAnsi="Arial" w:hint="default"/>
        <w:sz w:val="22"/>
      </w:rPr>
    </w:lvl>
    <w:lvl w:ilvl="3">
      <w:start w:val="1"/>
      <w:numFmt w:val="decimal"/>
      <w:pStyle w:val="Para111"/>
      <w:lvlText w:val="%1%2.%3.%4."/>
      <w:lvlJc w:val="left"/>
      <w:pPr>
        <w:tabs>
          <w:tab w:val="num" w:pos="2552"/>
        </w:tabs>
        <w:ind w:left="2552" w:hanging="1134"/>
      </w:pPr>
      <w:rPr>
        <w:rFonts w:ascii="Arial" w:hAnsi="Arial" w:hint="default"/>
        <w:sz w:val="22"/>
      </w:rPr>
    </w:lvl>
    <w:lvl w:ilvl="4">
      <w:start w:val="1"/>
      <w:numFmt w:val="decimal"/>
      <w:pStyle w:val="Para1111"/>
      <w:lvlText w:val="%1%2.%3.%4.%5."/>
      <w:lvlJc w:val="left"/>
      <w:pPr>
        <w:tabs>
          <w:tab w:val="num" w:pos="3969"/>
        </w:tabs>
        <w:ind w:left="3969" w:hanging="1417"/>
      </w:pPr>
      <w:rPr>
        <w:rFonts w:ascii="Arial" w:hAnsi="Arial" w:hint="default"/>
        <w:sz w:val="22"/>
      </w:rPr>
    </w:lvl>
    <w:lvl w:ilvl="5">
      <w:start w:val="1"/>
      <w:numFmt w:val="decimal"/>
      <w:pStyle w:val="Para11111"/>
      <w:lvlText w:val="%1%2.%3.%4.%5.%6."/>
      <w:lvlJc w:val="left"/>
      <w:pPr>
        <w:tabs>
          <w:tab w:val="num" w:pos="5670"/>
        </w:tabs>
        <w:ind w:left="5670" w:hanging="1701"/>
      </w:pPr>
      <w:rPr>
        <w:rFonts w:ascii="Arial" w:hAnsi="Arial" w:hint="default"/>
        <w:sz w:val="22"/>
      </w:rPr>
    </w:lvl>
    <w:lvl w:ilvl="6">
      <w:start w:val="1"/>
      <w:numFmt w:val="decimal"/>
      <w:lvlText w:val="%1"/>
      <w:lvlJc w:val="left"/>
      <w:pPr>
        <w:tabs>
          <w:tab w:val="num" w:pos="3240"/>
        </w:tabs>
        <w:ind w:left="3240" w:hanging="1080"/>
      </w:pPr>
      <w:rPr>
        <w:rFonts w:hint="default"/>
      </w:rPr>
    </w:lvl>
    <w:lvl w:ilvl="7">
      <w:start w:val="1"/>
      <w:numFmt w:val="decimal"/>
      <w:lvlText w:val="%1"/>
      <w:lvlJc w:val="left"/>
      <w:pPr>
        <w:tabs>
          <w:tab w:val="num" w:pos="3744"/>
        </w:tabs>
        <w:ind w:left="3744" w:hanging="1224"/>
      </w:pPr>
      <w:rPr>
        <w:rFonts w:hint="default"/>
      </w:rPr>
    </w:lvl>
    <w:lvl w:ilvl="8">
      <w:start w:val="1"/>
      <w:numFmt w:val="decimal"/>
      <w:lvlText w:val="%1"/>
      <w:lvlJc w:val="left"/>
      <w:pPr>
        <w:tabs>
          <w:tab w:val="num" w:pos="4320"/>
        </w:tabs>
        <w:ind w:left="4320" w:hanging="1440"/>
      </w:pPr>
      <w:rPr>
        <w:rFonts w:hint="default"/>
      </w:rPr>
    </w:lvl>
  </w:abstractNum>
  <w:abstractNum w:abstractNumId="2" w15:restartNumberingAfterBreak="0">
    <w:nsid w:val="520674F6"/>
    <w:multiLevelType w:val="multilevel"/>
    <w:tmpl w:val="D24414CE"/>
    <w:styleLink w:val="PartyNos"/>
    <w:lvl w:ilvl="0">
      <w:start w:val="1"/>
      <w:numFmt w:val="decimal"/>
      <w:lvlText w:val="(%1)"/>
      <w:lvlJc w:val="left"/>
      <w:pPr>
        <w:tabs>
          <w:tab w:val="num" w:pos="567"/>
        </w:tabs>
        <w:ind w:left="567" w:hanging="567"/>
      </w:pPr>
      <w:rPr>
        <w:rFonts w:ascii="Arial" w:hAnsi="Arial" w:hint="default"/>
        <w:b/>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E4258E9"/>
    <w:multiLevelType w:val="multilevel"/>
    <w:tmpl w:val="A998BFCE"/>
    <w:lvl w:ilvl="0">
      <w:start w:val="1"/>
      <w:numFmt w:val="none"/>
      <w:pStyle w:val="cDoNotUse"/>
      <w:lvlText w:val="%1"/>
      <w:lvlJc w:val="left"/>
      <w:pPr>
        <w:ind w:left="0" w:firstLine="0"/>
      </w:pPr>
      <w:rPr>
        <w:rFonts w:hint="default"/>
      </w:rPr>
    </w:lvl>
    <w:lvl w:ilvl="1">
      <w:start w:val="1"/>
      <w:numFmt w:val="decimal"/>
      <w:pStyle w:val="Clause1"/>
      <w:lvlText w:val="%2."/>
      <w:lvlJc w:val="left"/>
      <w:pPr>
        <w:tabs>
          <w:tab w:val="num" w:pos="567"/>
        </w:tabs>
        <w:ind w:left="567" w:hanging="567"/>
      </w:pPr>
      <w:rPr>
        <w:rFonts w:hint="default"/>
      </w:rPr>
    </w:lvl>
    <w:lvl w:ilvl="2">
      <w:start w:val="1"/>
      <w:numFmt w:val="decimal"/>
      <w:pStyle w:val="Clause11"/>
      <w:lvlText w:val="%2.%3."/>
      <w:lvlJc w:val="left"/>
      <w:pPr>
        <w:tabs>
          <w:tab w:val="num" w:pos="1418"/>
        </w:tabs>
        <w:ind w:left="1418" w:hanging="851"/>
      </w:pPr>
      <w:rPr>
        <w:rFonts w:hint="default"/>
      </w:rPr>
    </w:lvl>
    <w:lvl w:ilvl="3">
      <w:start w:val="1"/>
      <w:numFmt w:val="decimal"/>
      <w:pStyle w:val="Clause111"/>
      <w:lvlText w:val="%2.%3.%4."/>
      <w:lvlJc w:val="left"/>
      <w:pPr>
        <w:tabs>
          <w:tab w:val="num" w:pos="2552"/>
        </w:tabs>
        <w:ind w:left="2552" w:hanging="1134"/>
      </w:pPr>
      <w:rPr>
        <w:rFonts w:hint="default"/>
      </w:rPr>
    </w:lvl>
    <w:lvl w:ilvl="4">
      <w:start w:val="1"/>
      <w:numFmt w:val="decimal"/>
      <w:pStyle w:val="Clause1111"/>
      <w:lvlText w:val="%2.%3.%4.%5."/>
      <w:lvlJc w:val="left"/>
      <w:pPr>
        <w:tabs>
          <w:tab w:val="num" w:pos="3686"/>
        </w:tabs>
        <w:ind w:left="3686" w:hanging="1134"/>
      </w:pPr>
      <w:rPr>
        <w:rFonts w:hint="default"/>
      </w:rPr>
    </w:lvl>
    <w:lvl w:ilvl="5">
      <w:start w:val="1"/>
      <w:numFmt w:val="decimal"/>
      <w:pStyle w:val="Clause11111"/>
      <w:lvlText w:val="%2.%3.%4.%5.%6"/>
      <w:lvlJc w:val="left"/>
      <w:pPr>
        <w:tabs>
          <w:tab w:val="num" w:pos="5670"/>
        </w:tabs>
        <w:ind w:left="5670" w:hanging="1701"/>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649C0131"/>
    <w:multiLevelType w:val="multilevel"/>
    <w:tmpl w:val="F0A6A332"/>
    <w:styleLink w:val="BackgroundNos"/>
    <w:lvl w:ilvl="0">
      <w:start w:val="1"/>
      <w:numFmt w:val="upperLetter"/>
      <w:pStyle w:val="Background2"/>
      <w:lvlText w:val="(%1)"/>
      <w:lvlJc w:val="left"/>
      <w:pPr>
        <w:tabs>
          <w:tab w:val="num" w:pos="567"/>
        </w:tabs>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6E8C3C0F"/>
    <w:multiLevelType w:val="multilevel"/>
    <w:tmpl w:val="0C5EDAC8"/>
    <w:lvl w:ilvl="0">
      <w:start w:val="1"/>
      <w:numFmt w:val="decimal"/>
      <w:pStyle w:val="Parties"/>
      <w:lvlText w:val="(%1)"/>
      <w:lvlJc w:val="left"/>
      <w:pPr>
        <w:tabs>
          <w:tab w:val="num" w:pos="567"/>
        </w:tabs>
        <w:ind w:left="567" w:hanging="567"/>
      </w:pPr>
      <w:rPr>
        <w:rFonts w:ascii="Arial" w:hAnsi="Arial" w:hint="default"/>
        <w:b/>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71E540C4"/>
    <w:multiLevelType w:val="multilevel"/>
    <w:tmpl w:val="AB5ECD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3"/>
  </w:num>
  <w:num w:numId="3">
    <w:abstractNumId w:val="1"/>
  </w:num>
  <w:num w:numId="4">
    <w:abstractNumId w:val="4"/>
  </w:num>
  <w:num w:numId="5">
    <w:abstractNumId w:val="5"/>
  </w:num>
  <w:num w:numId="6">
    <w:abstractNumId w:val="2"/>
  </w:num>
  <w:num w:numId="7">
    <w:abstractNumId w:val="0"/>
  </w:num>
  <w:num w:numId="8">
    <w:abstractNumId w:val="1"/>
  </w:num>
  <w:num w:numId="9">
    <w:abstractNumId w:val="3"/>
  </w:num>
  <w:num w:numId="10">
    <w:abstractNumId w:val="3"/>
  </w:num>
  <w:num w:numId="11">
    <w:abstractNumId w:val="3"/>
  </w:num>
  <w:num w:numId="12">
    <w:abstractNumId w:val="3"/>
  </w:num>
  <w:num w:numId="13">
    <w:abstractNumId w:val="3"/>
  </w:num>
  <w:num w:numId="14">
    <w:abstractNumId w:val="3"/>
  </w:num>
  <w:num w:numId="15">
    <w:abstractNumId w:val="1"/>
  </w:num>
  <w:num w:numId="16">
    <w:abstractNumId w:val="1"/>
  </w:num>
  <w:num w:numId="17">
    <w:abstractNumId w:val="1"/>
  </w:num>
  <w:num w:numId="18">
    <w:abstractNumId w:val="1"/>
  </w:num>
  <w:num w:numId="19">
    <w:abstractNumId w:val="1"/>
  </w:num>
  <w:num w:numId="20">
    <w:abstractNumId w:val="5"/>
  </w:num>
  <w:num w:numId="21">
    <w:abstractNumId w:val="3"/>
  </w:num>
  <w:num w:numId="22">
    <w:abstractNumId w:val="3"/>
  </w:num>
  <w:num w:numId="23">
    <w:abstractNumId w:val="3"/>
  </w:num>
  <w:num w:numId="24">
    <w:abstractNumId w:val="3"/>
  </w:num>
  <w:num w:numId="25">
    <w:abstractNumId w:val="3"/>
  </w:num>
  <w:num w:numId="26">
    <w:abstractNumId w:val="3"/>
  </w:num>
  <w:num w:numId="27">
    <w:abstractNumId w:val="1"/>
  </w:num>
  <w:num w:numId="28">
    <w:abstractNumId w:val="1"/>
  </w:num>
  <w:num w:numId="29">
    <w:abstractNumId w:val="1"/>
  </w:num>
  <w:num w:numId="30">
    <w:abstractNumId w:val="1"/>
  </w:num>
  <w:num w:numId="31">
    <w:abstractNumId w:val="1"/>
  </w:num>
  <w:num w:numId="32">
    <w:abstractNumId w:val="5"/>
  </w:num>
  <w:num w:numId="33">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567"/>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73B"/>
    <w:rsid w:val="0000124A"/>
    <w:rsid w:val="00006641"/>
    <w:rsid w:val="00050B75"/>
    <w:rsid w:val="00052324"/>
    <w:rsid w:val="00066E22"/>
    <w:rsid w:val="000940EA"/>
    <w:rsid w:val="00097047"/>
    <w:rsid w:val="000A7434"/>
    <w:rsid w:val="000B029A"/>
    <w:rsid w:val="000B40CF"/>
    <w:rsid w:val="000B582B"/>
    <w:rsid w:val="000D10BE"/>
    <w:rsid w:val="000E5266"/>
    <w:rsid w:val="000E7838"/>
    <w:rsid w:val="000E79AE"/>
    <w:rsid w:val="000E7E47"/>
    <w:rsid w:val="000F275A"/>
    <w:rsid w:val="001075F8"/>
    <w:rsid w:val="00110ADF"/>
    <w:rsid w:val="0011493F"/>
    <w:rsid w:val="0012341D"/>
    <w:rsid w:val="00141EA1"/>
    <w:rsid w:val="00144A3D"/>
    <w:rsid w:val="0014759E"/>
    <w:rsid w:val="001526BB"/>
    <w:rsid w:val="00160D06"/>
    <w:rsid w:val="00166A48"/>
    <w:rsid w:val="00182F39"/>
    <w:rsid w:val="0018674A"/>
    <w:rsid w:val="00190F3B"/>
    <w:rsid w:val="00192E57"/>
    <w:rsid w:val="001B0CEC"/>
    <w:rsid w:val="001B2332"/>
    <w:rsid w:val="001D52D6"/>
    <w:rsid w:val="001D5995"/>
    <w:rsid w:val="002013C9"/>
    <w:rsid w:val="00221493"/>
    <w:rsid w:val="002607E1"/>
    <w:rsid w:val="00282CE9"/>
    <w:rsid w:val="002A3269"/>
    <w:rsid w:val="002C3D9D"/>
    <w:rsid w:val="002F0276"/>
    <w:rsid w:val="00306579"/>
    <w:rsid w:val="0034710C"/>
    <w:rsid w:val="0036296F"/>
    <w:rsid w:val="00363234"/>
    <w:rsid w:val="003B273B"/>
    <w:rsid w:val="003F51B6"/>
    <w:rsid w:val="00417A8E"/>
    <w:rsid w:val="00421620"/>
    <w:rsid w:val="0044004B"/>
    <w:rsid w:val="0044618B"/>
    <w:rsid w:val="004603B6"/>
    <w:rsid w:val="004A0E69"/>
    <w:rsid w:val="004A481C"/>
    <w:rsid w:val="004A5ADC"/>
    <w:rsid w:val="004B15A6"/>
    <w:rsid w:val="005529D9"/>
    <w:rsid w:val="00567885"/>
    <w:rsid w:val="0059573A"/>
    <w:rsid w:val="005C7118"/>
    <w:rsid w:val="00632EAA"/>
    <w:rsid w:val="006866B5"/>
    <w:rsid w:val="00691CC4"/>
    <w:rsid w:val="006A05AD"/>
    <w:rsid w:val="006A26B7"/>
    <w:rsid w:val="006A7EBE"/>
    <w:rsid w:val="006B2BC5"/>
    <w:rsid w:val="006D301A"/>
    <w:rsid w:val="006E7626"/>
    <w:rsid w:val="006F3B6F"/>
    <w:rsid w:val="00710601"/>
    <w:rsid w:val="00755B40"/>
    <w:rsid w:val="007614C4"/>
    <w:rsid w:val="00774874"/>
    <w:rsid w:val="007773CC"/>
    <w:rsid w:val="00791B63"/>
    <w:rsid w:val="007F01E1"/>
    <w:rsid w:val="00806A03"/>
    <w:rsid w:val="00815DFB"/>
    <w:rsid w:val="008430EA"/>
    <w:rsid w:val="00851471"/>
    <w:rsid w:val="00855526"/>
    <w:rsid w:val="0088049A"/>
    <w:rsid w:val="008C512A"/>
    <w:rsid w:val="008D67EE"/>
    <w:rsid w:val="008E2163"/>
    <w:rsid w:val="008E3D41"/>
    <w:rsid w:val="008F3D5E"/>
    <w:rsid w:val="008F7F7B"/>
    <w:rsid w:val="00907EA3"/>
    <w:rsid w:val="0091518A"/>
    <w:rsid w:val="00920D7C"/>
    <w:rsid w:val="009231AA"/>
    <w:rsid w:val="0093024C"/>
    <w:rsid w:val="00934F02"/>
    <w:rsid w:val="00937ADC"/>
    <w:rsid w:val="00937F16"/>
    <w:rsid w:val="009402A9"/>
    <w:rsid w:val="00960A7B"/>
    <w:rsid w:val="00967BC5"/>
    <w:rsid w:val="00973607"/>
    <w:rsid w:val="00980250"/>
    <w:rsid w:val="009855B1"/>
    <w:rsid w:val="009A4CA5"/>
    <w:rsid w:val="009A636E"/>
    <w:rsid w:val="009B08E2"/>
    <w:rsid w:val="009B1AF7"/>
    <w:rsid w:val="009C35AD"/>
    <w:rsid w:val="009E3504"/>
    <w:rsid w:val="00A00CB8"/>
    <w:rsid w:val="00A05E7D"/>
    <w:rsid w:val="00A1594E"/>
    <w:rsid w:val="00A27D22"/>
    <w:rsid w:val="00A57F05"/>
    <w:rsid w:val="00A6355A"/>
    <w:rsid w:val="00A7296B"/>
    <w:rsid w:val="00A808B5"/>
    <w:rsid w:val="00A86A09"/>
    <w:rsid w:val="00AD120E"/>
    <w:rsid w:val="00AE1A9E"/>
    <w:rsid w:val="00AE4569"/>
    <w:rsid w:val="00AF1444"/>
    <w:rsid w:val="00B24E29"/>
    <w:rsid w:val="00B61646"/>
    <w:rsid w:val="00B662C4"/>
    <w:rsid w:val="00B73E97"/>
    <w:rsid w:val="00BB3008"/>
    <w:rsid w:val="00BE01F7"/>
    <w:rsid w:val="00BF077C"/>
    <w:rsid w:val="00C604C7"/>
    <w:rsid w:val="00C767EF"/>
    <w:rsid w:val="00C8752A"/>
    <w:rsid w:val="00CE7CD9"/>
    <w:rsid w:val="00D12780"/>
    <w:rsid w:val="00D1722E"/>
    <w:rsid w:val="00D216CD"/>
    <w:rsid w:val="00D36543"/>
    <w:rsid w:val="00D40099"/>
    <w:rsid w:val="00D535EA"/>
    <w:rsid w:val="00D71681"/>
    <w:rsid w:val="00D859BE"/>
    <w:rsid w:val="00D9230A"/>
    <w:rsid w:val="00DB78A9"/>
    <w:rsid w:val="00DC3626"/>
    <w:rsid w:val="00DC533C"/>
    <w:rsid w:val="00DF70A3"/>
    <w:rsid w:val="00E03178"/>
    <w:rsid w:val="00E0336F"/>
    <w:rsid w:val="00E31593"/>
    <w:rsid w:val="00E352C6"/>
    <w:rsid w:val="00E412B1"/>
    <w:rsid w:val="00E44E1E"/>
    <w:rsid w:val="00E47233"/>
    <w:rsid w:val="00E6614A"/>
    <w:rsid w:val="00EA2BBC"/>
    <w:rsid w:val="00EB7DB4"/>
    <w:rsid w:val="00EC53B4"/>
    <w:rsid w:val="00EE381D"/>
    <w:rsid w:val="00F038DF"/>
    <w:rsid w:val="00F678B4"/>
    <w:rsid w:val="00F71ABB"/>
    <w:rsid w:val="00FA3C66"/>
    <w:rsid w:val="00FA4979"/>
    <w:rsid w:val="00FC46C7"/>
    <w:rsid w:val="00FD78F4"/>
    <w:rsid w:val="00FE6499"/>
    <w:rsid w:val="00FE7F72"/>
    <w:rsid w:val="00FF0F56"/>
    <w:rsid w:val="00FF317C"/>
    <w:rsid w:val="00FF69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CD3C6"/>
  <w15:chartTrackingRefBased/>
  <w15:docId w15:val="{A3F93AF8-37F7-44CB-83F4-338C0DE6E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17"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6"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9"/>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9"/>
    <w:lsdException w:name="Intense Emphasis" w:uiPriority="49"/>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59BE"/>
    <w:pPr>
      <w:jc w:val="both"/>
    </w:pPr>
  </w:style>
  <w:style w:type="paragraph" w:styleId="Heading1">
    <w:name w:val="heading 1"/>
    <w:basedOn w:val="Normal"/>
    <w:next w:val="Normal"/>
    <w:link w:val="Heading1Char"/>
    <w:uiPriority w:val="24"/>
    <w:rsid w:val="00FD78F4"/>
    <w:pPr>
      <w:keepNext/>
      <w:keepLines/>
      <w:spacing w:before="480"/>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DoNotUse">
    <w:name w:val="c Do Not Use"/>
    <w:basedOn w:val="Normal"/>
    <w:semiHidden/>
    <w:qFormat/>
    <w:rsid w:val="00D859BE"/>
    <w:pPr>
      <w:numPr>
        <w:numId w:val="26"/>
      </w:numPr>
    </w:pPr>
    <w:rPr>
      <w:color w:val="F8F8F8" w:themeColor="background1"/>
    </w:rPr>
  </w:style>
  <w:style w:type="paragraph" w:customStyle="1" w:styleId="Clause1">
    <w:name w:val="Clause 1."/>
    <w:basedOn w:val="Normal"/>
    <w:next w:val="Clause11"/>
    <w:uiPriority w:val="3"/>
    <w:qFormat/>
    <w:rsid w:val="00D859BE"/>
    <w:pPr>
      <w:keepNext/>
      <w:numPr>
        <w:ilvl w:val="1"/>
        <w:numId w:val="26"/>
      </w:numPr>
      <w:spacing w:before="560"/>
    </w:pPr>
    <w:rPr>
      <w:b/>
      <w:caps/>
    </w:rPr>
  </w:style>
  <w:style w:type="paragraph" w:customStyle="1" w:styleId="Clause11">
    <w:name w:val="Clause 1.1."/>
    <w:basedOn w:val="Normal"/>
    <w:uiPriority w:val="4"/>
    <w:qFormat/>
    <w:rsid w:val="00D859BE"/>
    <w:pPr>
      <w:numPr>
        <w:ilvl w:val="2"/>
        <w:numId w:val="26"/>
      </w:numPr>
    </w:pPr>
  </w:style>
  <w:style w:type="paragraph" w:customStyle="1" w:styleId="Clause111">
    <w:name w:val="Clause 1.1.1."/>
    <w:basedOn w:val="Normal"/>
    <w:uiPriority w:val="5"/>
    <w:qFormat/>
    <w:rsid w:val="00D859BE"/>
    <w:pPr>
      <w:numPr>
        <w:ilvl w:val="3"/>
        <w:numId w:val="26"/>
      </w:numPr>
    </w:pPr>
  </w:style>
  <w:style w:type="paragraph" w:customStyle="1" w:styleId="Clause1111">
    <w:name w:val="Clause 1.1.1.1."/>
    <w:basedOn w:val="Normal"/>
    <w:uiPriority w:val="6"/>
    <w:qFormat/>
    <w:rsid w:val="00D859BE"/>
    <w:pPr>
      <w:numPr>
        <w:ilvl w:val="4"/>
        <w:numId w:val="26"/>
      </w:numPr>
      <w:tabs>
        <w:tab w:val="left" w:pos="3969"/>
      </w:tabs>
    </w:pPr>
  </w:style>
  <w:style w:type="paragraph" w:customStyle="1" w:styleId="Clause11111">
    <w:name w:val="Clause 1.1.1.1.1."/>
    <w:basedOn w:val="Normal"/>
    <w:uiPriority w:val="7"/>
    <w:qFormat/>
    <w:rsid w:val="00D859BE"/>
    <w:pPr>
      <w:numPr>
        <w:ilvl w:val="5"/>
        <w:numId w:val="26"/>
      </w:numPr>
    </w:pPr>
  </w:style>
  <w:style w:type="paragraph" w:customStyle="1" w:styleId="PDoNotUse">
    <w:name w:val="P Do Not Use"/>
    <w:basedOn w:val="Normal"/>
    <w:next w:val="Normal"/>
    <w:uiPriority w:val="24"/>
    <w:rsid w:val="00791B63"/>
    <w:pPr>
      <w:numPr>
        <w:numId w:val="31"/>
      </w:numPr>
    </w:pPr>
    <w:rPr>
      <w:color w:val="FFFFFF"/>
      <w:sz w:val="2"/>
    </w:rPr>
  </w:style>
  <w:style w:type="paragraph" w:customStyle="1" w:styleId="Para1">
    <w:name w:val="Para 1."/>
    <w:uiPriority w:val="1"/>
    <w:qFormat/>
    <w:rsid w:val="00D859BE"/>
    <w:pPr>
      <w:numPr>
        <w:ilvl w:val="1"/>
        <w:numId w:val="31"/>
      </w:numPr>
      <w:jc w:val="both"/>
    </w:pPr>
  </w:style>
  <w:style w:type="paragraph" w:customStyle="1" w:styleId="Para11">
    <w:name w:val="Para 1.1."/>
    <w:basedOn w:val="Para1"/>
    <w:uiPriority w:val="8"/>
    <w:qFormat/>
    <w:rsid w:val="00D859BE"/>
    <w:pPr>
      <w:numPr>
        <w:ilvl w:val="2"/>
      </w:numPr>
    </w:pPr>
  </w:style>
  <w:style w:type="paragraph" w:customStyle="1" w:styleId="Para111">
    <w:name w:val="Para 1.1.1."/>
    <w:basedOn w:val="Para1"/>
    <w:uiPriority w:val="9"/>
    <w:qFormat/>
    <w:rsid w:val="00D859BE"/>
    <w:pPr>
      <w:numPr>
        <w:ilvl w:val="3"/>
      </w:numPr>
    </w:pPr>
  </w:style>
  <w:style w:type="paragraph" w:customStyle="1" w:styleId="Para1111">
    <w:name w:val="Para 1.1.1.1."/>
    <w:basedOn w:val="Para1"/>
    <w:uiPriority w:val="11"/>
    <w:qFormat/>
    <w:rsid w:val="00D859BE"/>
    <w:pPr>
      <w:numPr>
        <w:ilvl w:val="4"/>
      </w:numPr>
    </w:pPr>
  </w:style>
  <w:style w:type="paragraph" w:customStyle="1" w:styleId="Para11111">
    <w:name w:val="Para 1.1.1.1.1."/>
    <w:basedOn w:val="Para1"/>
    <w:uiPriority w:val="11"/>
    <w:qFormat/>
    <w:rsid w:val="00D859BE"/>
    <w:pPr>
      <w:numPr>
        <w:ilvl w:val="5"/>
      </w:numPr>
    </w:pPr>
  </w:style>
  <w:style w:type="paragraph" w:styleId="ListParagraph">
    <w:name w:val="List Paragraph"/>
    <w:basedOn w:val="Normal"/>
    <w:uiPriority w:val="34"/>
    <w:unhideWhenUsed/>
    <w:rsid w:val="00FF69FF"/>
    <w:pPr>
      <w:ind w:left="720"/>
      <w:contextualSpacing/>
    </w:pPr>
  </w:style>
  <w:style w:type="paragraph" w:styleId="Title">
    <w:name w:val="Title"/>
    <w:basedOn w:val="Normal"/>
    <w:next w:val="Normal"/>
    <w:link w:val="TitleChar"/>
    <w:uiPriority w:val="16"/>
    <w:qFormat/>
    <w:rsid w:val="00D859BE"/>
    <w:pPr>
      <w:keepNext/>
    </w:pPr>
    <w:rPr>
      <w:caps/>
      <w:szCs w:val="24"/>
    </w:rPr>
  </w:style>
  <w:style w:type="character" w:customStyle="1" w:styleId="TitleChar">
    <w:name w:val="Title Char"/>
    <w:basedOn w:val="DefaultParagraphFont"/>
    <w:link w:val="Title"/>
    <w:uiPriority w:val="16"/>
    <w:rsid w:val="00D859BE"/>
    <w:rPr>
      <w:caps/>
      <w:szCs w:val="24"/>
    </w:rPr>
  </w:style>
  <w:style w:type="paragraph" w:customStyle="1" w:styleId="Background">
    <w:name w:val="Background"/>
    <w:basedOn w:val="Normal"/>
    <w:next w:val="Background2"/>
    <w:uiPriority w:val="22"/>
    <w:qFormat/>
    <w:rsid w:val="00D859BE"/>
    <w:pPr>
      <w:keepNext/>
      <w:spacing w:before="480"/>
    </w:pPr>
    <w:rPr>
      <w:rFonts w:cstheme="minorBidi"/>
      <w:b/>
      <w:caps/>
    </w:rPr>
  </w:style>
  <w:style w:type="paragraph" w:customStyle="1" w:styleId="Background2">
    <w:name w:val="Background2"/>
    <w:basedOn w:val="Normal"/>
    <w:uiPriority w:val="23"/>
    <w:rsid w:val="0091518A"/>
    <w:pPr>
      <w:numPr>
        <w:numId w:val="4"/>
      </w:numPr>
    </w:pPr>
  </w:style>
  <w:style w:type="numbering" w:customStyle="1" w:styleId="BackgroundNos">
    <w:name w:val="BackgroundNos"/>
    <w:uiPriority w:val="99"/>
    <w:rsid w:val="0091518A"/>
    <w:pPr>
      <w:numPr>
        <w:numId w:val="4"/>
      </w:numPr>
    </w:pPr>
  </w:style>
  <w:style w:type="paragraph" w:styleId="Header">
    <w:name w:val="header"/>
    <w:basedOn w:val="Normal"/>
    <w:link w:val="HeaderChar"/>
    <w:uiPriority w:val="99"/>
    <w:semiHidden/>
    <w:unhideWhenUsed/>
    <w:rsid w:val="00F038DF"/>
    <w:pPr>
      <w:tabs>
        <w:tab w:val="center" w:pos="4513"/>
        <w:tab w:val="right" w:pos="9026"/>
      </w:tabs>
    </w:pPr>
  </w:style>
  <w:style w:type="character" w:customStyle="1" w:styleId="HeaderChar">
    <w:name w:val="Header Char"/>
    <w:basedOn w:val="DefaultParagraphFont"/>
    <w:link w:val="Header"/>
    <w:uiPriority w:val="99"/>
    <w:semiHidden/>
    <w:rsid w:val="00F038DF"/>
    <w:rPr>
      <w:rFonts w:ascii="Arial" w:hAnsi="Arial" w:cs="Times New Roman"/>
      <w:szCs w:val="24"/>
    </w:rPr>
  </w:style>
  <w:style w:type="paragraph" w:styleId="Footer">
    <w:name w:val="footer"/>
    <w:basedOn w:val="Normal"/>
    <w:link w:val="FooterChar"/>
    <w:uiPriority w:val="17"/>
    <w:qFormat/>
    <w:rsid w:val="00D859BE"/>
    <w:pPr>
      <w:tabs>
        <w:tab w:val="center" w:pos="4513"/>
        <w:tab w:val="right" w:pos="9026"/>
      </w:tabs>
    </w:pPr>
    <w:rPr>
      <w:sz w:val="16"/>
      <w:szCs w:val="24"/>
    </w:rPr>
  </w:style>
  <w:style w:type="character" w:customStyle="1" w:styleId="FooterChar">
    <w:name w:val="Footer Char"/>
    <w:basedOn w:val="DefaultParagraphFont"/>
    <w:link w:val="Footer"/>
    <w:uiPriority w:val="17"/>
    <w:rsid w:val="00D859BE"/>
    <w:rPr>
      <w:sz w:val="16"/>
      <w:szCs w:val="24"/>
    </w:rPr>
  </w:style>
  <w:style w:type="paragraph" w:customStyle="1" w:styleId="Parties">
    <w:name w:val="Parties"/>
    <w:basedOn w:val="Normal"/>
    <w:next w:val="Parties2"/>
    <w:uiPriority w:val="18"/>
    <w:qFormat/>
    <w:rsid w:val="00D859BE"/>
    <w:pPr>
      <w:numPr>
        <w:numId w:val="32"/>
      </w:numPr>
      <w:tabs>
        <w:tab w:val="left" w:pos="3969"/>
      </w:tabs>
    </w:pPr>
    <w:rPr>
      <w:b/>
    </w:rPr>
  </w:style>
  <w:style w:type="paragraph" w:customStyle="1" w:styleId="Parties2">
    <w:name w:val="Parties2"/>
    <w:basedOn w:val="Normal"/>
    <w:uiPriority w:val="19"/>
    <w:qFormat/>
    <w:rsid w:val="00D859BE"/>
    <w:pPr>
      <w:tabs>
        <w:tab w:val="left" w:pos="6237"/>
      </w:tabs>
      <w:ind w:left="3969"/>
    </w:pPr>
  </w:style>
  <w:style w:type="numbering" w:customStyle="1" w:styleId="PartyNos">
    <w:name w:val="PartyNos"/>
    <w:uiPriority w:val="99"/>
    <w:rsid w:val="0091518A"/>
    <w:pPr>
      <w:numPr>
        <w:numId w:val="6"/>
      </w:numPr>
    </w:pPr>
  </w:style>
  <w:style w:type="paragraph" w:customStyle="1" w:styleId="ScheduleHeading1">
    <w:name w:val="ScheduleHeading1"/>
    <w:basedOn w:val="Normal"/>
    <w:next w:val="ScheduleHeading2"/>
    <w:uiPriority w:val="20"/>
    <w:qFormat/>
    <w:rsid w:val="00D859BE"/>
    <w:pPr>
      <w:pageBreakBefore/>
      <w:spacing w:before="480"/>
      <w:jc w:val="center"/>
    </w:pPr>
    <w:rPr>
      <w:b/>
      <w:caps/>
    </w:rPr>
  </w:style>
  <w:style w:type="paragraph" w:customStyle="1" w:styleId="ScheduleHeading2">
    <w:name w:val="ScheduleHeading2"/>
    <w:basedOn w:val="Normal"/>
    <w:next w:val="Para1"/>
    <w:uiPriority w:val="21"/>
    <w:qFormat/>
    <w:rsid w:val="00D859BE"/>
    <w:pPr>
      <w:spacing w:after="240"/>
      <w:jc w:val="center"/>
    </w:pPr>
    <w:rPr>
      <w:b/>
    </w:rPr>
  </w:style>
  <w:style w:type="numbering" w:customStyle="1" w:styleId="CLAUSES">
    <w:name w:val="CLAUSES"/>
    <w:uiPriority w:val="99"/>
    <w:rsid w:val="0091518A"/>
    <w:pPr>
      <w:numPr>
        <w:numId w:val="7"/>
      </w:numPr>
    </w:pPr>
  </w:style>
  <w:style w:type="paragraph" w:customStyle="1" w:styleId="Definitions">
    <w:name w:val="Definitions"/>
    <w:basedOn w:val="Normal"/>
    <w:uiPriority w:val="18"/>
    <w:qFormat/>
    <w:rsid w:val="00D859BE"/>
  </w:style>
  <w:style w:type="paragraph" w:customStyle="1" w:styleId="Body1">
    <w:name w:val="Body 1"/>
    <w:basedOn w:val="Normal"/>
    <w:uiPriority w:val="2"/>
    <w:qFormat/>
    <w:rsid w:val="00D859BE"/>
    <w:pPr>
      <w:ind w:left="567"/>
    </w:pPr>
  </w:style>
  <w:style w:type="paragraph" w:customStyle="1" w:styleId="Body2">
    <w:name w:val="Body 2"/>
    <w:basedOn w:val="Normal"/>
    <w:uiPriority w:val="12"/>
    <w:qFormat/>
    <w:rsid w:val="00D859BE"/>
    <w:pPr>
      <w:ind w:left="1418"/>
    </w:pPr>
  </w:style>
  <w:style w:type="paragraph" w:customStyle="1" w:styleId="Body3">
    <w:name w:val="Body 3"/>
    <w:basedOn w:val="Normal"/>
    <w:uiPriority w:val="13"/>
    <w:qFormat/>
    <w:rsid w:val="00D859BE"/>
    <w:pPr>
      <w:ind w:left="2552"/>
    </w:pPr>
  </w:style>
  <w:style w:type="paragraph" w:customStyle="1" w:styleId="Body4">
    <w:name w:val="Body 4"/>
    <w:basedOn w:val="Normal"/>
    <w:uiPriority w:val="14"/>
    <w:qFormat/>
    <w:rsid w:val="00D859BE"/>
    <w:pPr>
      <w:ind w:left="3969"/>
    </w:pPr>
  </w:style>
  <w:style w:type="paragraph" w:customStyle="1" w:styleId="Body5">
    <w:name w:val="Body 5"/>
    <w:basedOn w:val="Normal"/>
    <w:uiPriority w:val="15"/>
    <w:qFormat/>
    <w:rsid w:val="00D859BE"/>
    <w:pPr>
      <w:ind w:left="5670"/>
    </w:pPr>
  </w:style>
  <w:style w:type="character" w:customStyle="1" w:styleId="Heading1Char">
    <w:name w:val="Heading 1 Char"/>
    <w:basedOn w:val="DefaultParagraphFont"/>
    <w:link w:val="Heading1"/>
    <w:uiPriority w:val="24"/>
    <w:rsid w:val="00DC3626"/>
    <w:rPr>
      <w:rFonts w:ascii="Arial" w:eastAsiaTheme="majorEastAsia" w:hAnsi="Arial" w:cstheme="majorBidi"/>
      <w:b/>
      <w:bCs/>
      <w:sz w:val="22"/>
      <w:szCs w:val="28"/>
    </w:rPr>
  </w:style>
  <w:style w:type="paragraph" w:styleId="TOC1">
    <w:name w:val="toc 1"/>
    <w:basedOn w:val="Normal"/>
    <w:next w:val="Normal"/>
    <w:autoRedefine/>
    <w:uiPriority w:val="39"/>
    <w:unhideWhenUsed/>
    <w:rsid w:val="002F0276"/>
    <w:pPr>
      <w:tabs>
        <w:tab w:val="left" w:leader="dot" w:pos="9356"/>
      </w:tabs>
    </w:pPr>
    <w:rPr>
      <w:caps/>
    </w:rPr>
  </w:style>
  <w:style w:type="character" w:styleId="Hyperlink">
    <w:name w:val="Hyperlink"/>
    <w:basedOn w:val="DefaultParagraphFont"/>
    <w:uiPriority w:val="99"/>
    <w:unhideWhenUsed/>
    <w:rsid w:val="00B73E97"/>
    <w:rPr>
      <w:color w:val="0070C0"/>
      <w:u w:val="single"/>
    </w:rPr>
  </w:style>
  <w:style w:type="paragraph" w:styleId="BalloonText">
    <w:name w:val="Balloon Text"/>
    <w:basedOn w:val="Normal"/>
    <w:link w:val="BalloonTextChar"/>
    <w:uiPriority w:val="99"/>
    <w:semiHidden/>
    <w:unhideWhenUsed/>
    <w:rsid w:val="002F0276"/>
    <w:rPr>
      <w:rFonts w:ascii="Tahoma" w:hAnsi="Tahoma" w:cs="Tahoma"/>
      <w:sz w:val="16"/>
      <w:szCs w:val="16"/>
    </w:rPr>
  </w:style>
  <w:style w:type="paragraph" w:styleId="TOC2">
    <w:name w:val="toc 2"/>
    <w:basedOn w:val="Normal"/>
    <w:next w:val="Normal"/>
    <w:autoRedefine/>
    <w:uiPriority w:val="39"/>
    <w:unhideWhenUsed/>
    <w:rsid w:val="002F0276"/>
    <w:pPr>
      <w:tabs>
        <w:tab w:val="left" w:leader="dot" w:pos="9356"/>
      </w:tabs>
    </w:pPr>
    <w:rPr>
      <w:caps/>
    </w:rPr>
  </w:style>
  <w:style w:type="paragraph" w:styleId="TOC3">
    <w:name w:val="toc 3"/>
    <w:basedOn w:val="Normal"/>
    <w:next w:val="Normal"/>
    <w:autoRedefine/>
    <w:uiPriority w:val="39"/>
    <w:unhideWhenUsed/>
    <w:rsid w:val="002F0276"/>
    <w:pPr>
      <w:tabs>
        <w:tab w:val="left" w:leader="dot" w:pos="9356"/>
      </w:tabs>
    </w:pPr>
  </w:style>
  <w:style w:type="character" w:customStyle="1" w:styleId="BalloonTextChar">
    <w:name w:val="Balloon Text Char"/>
    <w:basedOn w:val="DefaultParagraphFont"/>
    <w:link w:val="BalloonText"/>
    <w:uiPriority w:val="99"/>
    <w:semiHidden/>
    <w:rsid w:val="002F0276"/>
    <w:rPr>
      <w:rFonts w:ascii="Tahoma" w:hAnsi="Tahoma" w:cs="Tahoma"/>
      <w:sz w:val="16"/>
      <w:szCs w:val="16"/>
    </w:rPr>
  </w:style>
  <w:style w:type="table" w:styleId="TableGrid">
    <w:name w:val="Table Grid"/>
    <w:basedOn w:val="TableNormal"/>
    <w:uiPriority w:val="59"/>
    <w:rsid w:val="00EE38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0648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Freeths Group">
      <a:dk1>
        <a:sysClr val="windowText" lastClr="000000"/>
      </a:dk1>
      <a:lt1>
        <a:srgbClr val="F8F8F8"/>
      </a:lt1>
      <a:dk2>
        <a:srgbClr val="D61E3C"/>
      </a:dk2>
      <a:lt2>
        <a:srgbClr val="DCDDDE"/>
      </a:lt2>
      <a:accent1>
        <a:srgbClr val="000000"/>
      </a:accent1>
      <a:accent2>
        <a:srgbClr val="D59F0F"/>
      </a:accent2>
      <a:accent3>
        <a:srgbClr val="008C99"/>
      </a:accent3>
      <a:accent4>
        <a:srgbClr val="000000"/>
      </a:accent4>
      <a:accent5>
        <a:srgbClr val="CEEBEA"/>
      </a:accent5>
      <a:accent6>
        <a:srgbClr val="54585A"/>
      </a:accent6>
      <a:hlink>
        <a:srgbClr val="008C99"/>
      </a:hlink>
      <a:folHlink>
        <a:srgbClr val="CEEBE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79A01B-7342-4566-80EC-F04950B5E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479</Words>
  <Characters>2734</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Freeths LLP</Company>
  <LinksUpToDate>false</LinksUpToDate>
  <CharactersWithSpaces>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Fraser</dc:creator>
  <cp:keywords/>
  <dc:description/>
  <cp:lastModifiedBy>Simpkin Stevie (LMC)</cp:lastModifiedBy>
  <cp:revision>2</cp:revision>
  <dcterms:created xsi:type="dcterms:W3CDTF">2018-11-14T15:24:00Z</dcterms:created>
  <dcterms:modified xsi:type="dcterms:W3CDTF">2018-11-14T15:24:00Z</dcterms:modified>
</cp:coreProperties>
</file>